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15065" w:rsidR="00B13FE9" w:rsidP="00815065" w:rsidRDefault="00A5047B" w14:paraId="37C47278" w14:textId="341B75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5047B">
        <w:rPr>
          <w:rFonts w:ascii="Avenir Next LT Pro" w:hAnsi="Avenir Next LT Pro"/>
          <w:b/>
          <w:bCs/>
          <w:sz w:val="22"/>
          <w:szCs w:val="22"/>
        </w:rPr>
        <w:t xml:space="preserve">CUSP </w:t>
      </w:r>
      <w:r w:rsidR="00F351FF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  <w:shd w:val="clear" w:color="auto" w:fill="FFFFFF"/>
        </w:rPr>
        <w:t>History</w:t>
      </w:r>
    </w:p>
    <w:p w:rsidR="001D4E99" w:rsidP="00A5047B" w:rsidRDefault="00A5047B" w14:paraId="5763E8B3" w14:textId="2BBD8BC6">
      <w:pPr>
        <w:spacing w:line="276" w:lineRule="auto"/>
        <w:rPr>
          <w:rFonts w:ascii="Avenir Next LT Pro" w:hAnsi="Avenir Next LT Pro"/>
          <w:i/>
          <w:iCs/>
          <w:sz w:val="22"/>
          <w:szCs w:val="22"/>
        </w:rPr>
      </w:pPr>
      <w:r w:rsidRPr="00FB3C7C">
        <w:rPr>
          <w:rFonts w:ascii="Avenir Next LT Pro" w:hAnsi="Avenir Next LT Pro"/>
          <w:b/>
          <w:bCs/>
          <w:sz w:val="22"/>
          <w:szCs w:val="22"/>
        </w:rPr>
        <w:t>Curriculum context: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</w:p>
    <w:p w:rsidRPr="00815065" w:rsidR="00815065" w:rsidP="00815065" w:rsidRDefault="00653BB7" w14:paraId="763C845A" w14:textId="2B4A3C99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</w:pPr>
      <w:r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  <w:shd w:val="clear" w:color="auto" w:fill="FFFFFF"/>
        </w:rPr>
        <w:t>Curriculum statement: </w:t>
      </w:r>
      <w:r w:rsidRPr="00653BB7">
        <w:rPr>
          <w:rStyle w:val="normaltextrun"/>
          <w:rFonts w:ascii="Avenir Next LT Pro" w:hAnsi="Avenir Next LT Pro" w:cs="Segoe UI" w:eastAsiaTheme="majorEastAsia"/>
          <w:i/>
          <w:iCs/>
          <w:color w:val="000000"/>
          <w:sz w:val="22"/>
          <w:szCs w:val="22"/>
          <w:highlight w:val="yellow"/>
          <w:shd w:val="clear" w:color="auto" w:fill="FFFFFF"/>
        </w:rPr>
        <w:t>(School adds own brief curriculum statement which reflects the school context)</w:t>
      </w:r>
      <w:r w:rsidRPr="00653BB7">
        <w:rPr>
          <w:rStyle w:val="eop"/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  <w:t> </w:t>
      </w:r>
    </w:p>
    <w:p w:rsidR="00815065" w:rsidP="00815065" w:rsidRDefault="00815065" w14:paraId="0AAE6C41" w14:textId="77777777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5D292B" w:rsidP="00815065" w:rsidRDefault="005D292B" w14:paraId="380DE9B0" w14:textId="77777777">
      <w:pPr>
        <w:textAlignment w:val="baseline"/>
        <w:rPr>
          <w:rFonts w:ascii="Avenir Next LT Pro" w:hAnsi="Avenir Next LT Pro" w:cs="Segoe UI"/>
          <w:color w:val="000000"/>
          <w:sz w:val="22"/>
          <w:szCs w:val="22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2583"/>
        <w:gridCol w:w="2824"/>
        <w:gridCol w:w="2775"/>
      </w:tblGrid>
      <w:tr w:rsidRPr="00F351FF" w:rsidR="00F351FF" w14:paraId="59A5DCED" w14:textId="77777777">
        <w:trPr>
          <w:trHeight w:val="405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099939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5635FAC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b/>
                <w:bCs/>
                <w:sz w:val="20"/>
                <w:szCs w:val="20"/>
              </w:rPr>
              <w:t>Autumn</w:t>
            </w:r>
            <w:r w:rsidRPr="00F351FF">
              <w:rPr>
                <w:rStyle w:val="eop"/>
                <w:rFonts w:ascii="Avenir Book" w:hAnsi="Avenir Book" w:cs="Segoe UI" w:eastAsiaTheme="majorEastAsia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6FE29CC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b/>
                <w:bCs/>
                <w:color w:val="000000"/>
                <w:sz w:val="20"/>
                <w:szCs w:val="20"/>
              </w:rPr>
              <w:t>Spring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63A55B2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b/>
                <w:bCs/>
                <w:color w:val="000000"/>
                <w:sz w:val="20"/>
                <w:szCs w:val="20"/>
              </w:rPr>
              <w:t>Summer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Pr="00F351FF" w:rsidR="00F351FF" w14:paraId="453AAB46" w14:textId="77777777">
        <w:trPr>
          <w:trHeight w:val="1290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4B1945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b/>
                <w:bCs/>
                <w:color w:val="000000"/>
                <w:sz w:val="20"/>
                <w:szCs w:val="20"/>
              </w:rPr>
              <w:t>Year 1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237B764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sz w:val="20"/>
                <w:szCs w:val="20"/>
              </w:rPr>
              <w:t>Changes within living memory</w:t>
            </w:r>
            <w:r w:rsidRPr="00F351FF">
              <w:rPr>
                <w:rStyle w:val="eop"/>
                <w:rFonts w:ascii="Avenir Book" w:hAnsi="Avenir Book" w:cs="Segoe UI" w:eastAsiaTheme="majorEastAsia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5274E76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sz w:val="20"/>
                <w:szCs w:val="20"/>
              </w:rPr>
              <w:t>The lives of significant people (Mary Anning and David Attenborough)</w:t>
            </w:r>
            <w:r w:rsidRPr="00F351FF">
              <w:rPr>
                <w:rStyle w:val="eop"/>
                <w:rFonts w:ascii="Avenir Book" w:hAnsi="Avenir Book" w:cs="Segoe UI" w:eastAsiaTheme="majorEastAsia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69DED01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sz w:val="20"/>
                <w:szCs w:val="20"/>
              </w:rPr>
              <w:t>More lives of significant people</w:t>
            </w:r>
            <w:r w:rsidRPr="00F351FF">
              <w:rPr>
                <w:rStyle w:val="eop"/>
                <w:rFonts w:ascii="Avenir Book" w:hAnsi="Avenir Book" w:cs="Segoe UI" w:eastAsiaTheme="majorEastAsia"/>
                <w:sz w:val="20"/>
                <w:szCs w:val="20"/>
              </w:rPr>
              <w:t> </w:t>
            </w:r>
          </w:p>
          <w:p w:rsidRPr="00F351FF" w:rsidR="00F351FF" w:rsidRDefault="00F351FF" w14:paraId="23E28CA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sz w:val="20"/>
                <w:szCs w:val="20"/>
              </w:rPr>
              <w:t>(Neil Armstrong, Mae Jemison, Bernard Harris Jr., Tim Peake)</w:t>
            </w:r>
            <w:r w:rsidRPr="00F351FF">
              <w:rPr>
                <w:rStyle w:val="eop"/>
                <w:rFonts w:ascii="Avenir Book" w:hAnsi="Avenir Book" w:cs="Segoe UI" w:eastAsiaTheme="majorEastAsia"/>
                <w:sz w:val="20"/>
                <w:szCs w:val="20"/>
              </w:rPr>
              <w:t> </w:t>
            </w:r>
          </w:p>
        </w:tc>
      </w:tr>
      <w:tr w:rsidRPr="00F351FF" w:rsidR="00F351FF" w14:paraId="51793D20" w14:textId="77777777">
        <w:trPr>
          <w:trHeight w:val="1290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76C976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b/>
                <w:bCs/>
                <w:color w:val="000000"/>
                <w:sz w:val="20"/>
                <w:szCs w:val="20"/>
              </w:rPr>
              <w:t>Year 2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29D9661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Events beyond living memory </w:t>
            </w:r>
            <w:r w:rsidRPr="00F351FF">
              <w:rPr>
                <w:rStyle w:val="scxw155024992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  <w:r w:rsidRPr="00F351FF">
              <w:rPr>
                <w:rFonts w:ascii="Avenir Book" w:hAnsi="Avenir Book" w:cs="Segoe UI"/>
                <w:color w:val="000000"/>
                <w:sz w:val="20"/>
                <w:szCs w:val="20"/>
              </w:rPr>
              <w:br/>
            </w: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(Great Fire of London)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142E6B9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Significant historical events, people, places in our locality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53E1E3D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Significant historical events, people, places in our locality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  <w:p w:rsidRPr="00F351FF" w:rsidR="00F351FF" w:rsidRDefault="00F351FF" w14:paraId="1BEE3EC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  <w:p w:rsidRPr="00F351FF" w:rsidR="00F351FF" w:rsidRDefault="00F351FF" w14:paraId="1DEABD9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Revisit – Events beyond living memory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Pr="00F351FF" w:rsidR="00F351FF" w14:paraId="2F128E13" w14:textId="77777777">
        <w:trPr>
          <w:trHeight w:val="1290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332ACF9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b/>
                <w:bCs/>
                <w:color w:val="000000"/>
                <w:sz w:val="20"/>
                <w:szCs w:val="20"/>
              </w:rPr>
              <w:t>Year 3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0C6A9AF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Stone Age – Iron Age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70C7B7A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Stone Age – Iron Age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  <w:p w:rsidRPr="00F351FF" w:rsidR="00F351FF" w:rsidRDefault="00F351FF" w14:paraId="38DDEEF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  <w:p w:rsidRPr="00F351FF" w:rsidR="00F351FF" w:rsidRDefault="00F351FF" w14:paraId="35255D7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Rome and the impact on Britain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757F48A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Rome and the impact on Britain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Pr="00F351FF" w:rsidR="00F351FF" w14:paraId="6346C155" w14:textId="77777777">
        <w:trPr>
          <w:trHeight w:val="1290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75E1484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b/>
                <w:bCs/>
                <w:color w:val="000000"/>
                <w:sz w:val="20"/>
                <w:szCs w:val="20"/>
              </w:rPr>
              <w:t>Year 4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5E9F337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Britain’s settlement by Anglo-Saxons and Scots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  <w:p w:rsidRPr="00F351FF" w:rsidR="00F351FF" w:rsidRDefault="00F351FF" w14:paraId="1C8674B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  <w:p w:rsidRPr="00F351FF" w:rsidR="00F351FF" w:rsidRDefault="00F351FF" w14:paraId="6D38361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Viking and Anglo-Saxon struggle for the Kingdom of England to the time of Edward the Confessor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2080179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Viking and Anglo-Saxon struggle for the Kingdom of England to the time of Edward the Confessor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  <w:p w:rsidRPr="00F351FF" w:rsidR="00F351FF" w:rsidRDefault="00F351FF" w14:paraId="6D16438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  <w:p w:rsidRPr="00F351FF" w:rsidR="00F351FF" w:rsidRDefault="00F351FF" w14:paraId="0A29E1B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Ancient civilisation - Egypt or Shang Dynasty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03C6235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Ancient civilisation - Egypt or Shang Dynasty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Pr="00F351FF" w:rsidR="00F351FF" w14:paraId="7377EA0C" w14:textId="77777777">
        <w:trPr>
          <w:trHeight w:val="1290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2C73B5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b/>
                <w:bCs/>
                <w:color w:val="000000"/>
                <w:sz w:val="20"/>
                <w:szCs w:val="20"/>
              </w:rPr>
              <w:t>Year 5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6E18A7A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Ancient Greece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42E3E91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Ancient Greece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  <w:p w:rsidRPr="00F351FF" w:rsidR="00F351FF" w:rsidRDefault="00F351FF" w14:paraId="3C70E45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  <w:p w:rsidRPr="00F351FF" w:rsidR="00F351FF" w:rsidRDefault="00F351FF" w14:paraId="51F52CD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Comparison study – Maya or Benin and Anglo-Saxons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45C6B76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Comparison study – Maya or Benin and Anglo-Saxons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</w:tr>
      <w:tr w:rsidRPr="00F351FF" w:rsidR="00F351FF" w14:paraId="1FBC7738" w14:textId="77777777">
        <w:trPr>
          <w:trHeight w:val="1290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5A5ACE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b/>
                <w:bCs/>
                <w:color w:val="000000"/>
                <w:sz w:val="20"/>
                <w:szCs w:val="20"/>
              </w:rPr>
              <w:t>Year 6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68B33C0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Local History Study - how did conflict change our locality in World War 2?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3F13EBC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Windrush generation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51FF" w:rsidR="00F351FF" w:rsidRDefault="00F351FF" w14:paraId="7A4A2E4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5 significant monarchs 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  <w:p w:rsidRPr="00F351FF" w:rsidR="00F351FF" w:rsidRDefault="00F351FF" w14:paraId="0ADF327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or 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  <w:p w:rsidRPr="00F351FF" w:rsidR="00F351FF" w:rsidRDefault="00F351FF" w14:paraId="2F9FC7B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351FF">
              <w:rPr>
                <w:rStyle w:val="normaltextrun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Battle of Britain</w:t>
            </w:r>
            <w:r w:rsidRPr="00F351FF">
              <w:rPr>
                <w:rStyle w:val="eop"/>
                <w:rFonts w:ascii="Avenir Book" w:hAnsi="Avenir Book" w:cs="Segoe UI" w:eastAsiaTheme="majorEastAsia"/>
                <w:color w:val="000000"/>
                <w:sz w:val="20"/>
                <w:szCs w:val="20"/>
              </w:rPr>
              <w:t> </w:t>
            </w:r>
          </w:p>
        </w:tc>
      </w:tr>
    </w:tbl>
    <w:p w:rsidR="005D292B" w:rsidP="00815065" w:rsidRDefault="005D292B" w14:paraId="672E9C43" w14:textId="77777777">
      <w:pPr>
        <w:textAlignment w:val="baseline"/>
        <w:rPr>
          <w:rFonts w:ascii="Avenir Next LT Pro" w:hAnsi="Avenir Next LT Pro" w:cs="Segoe UI"/>
          <w:color w:val="000000"/>
          <w:sz w:val="22"/>
          <w:szCs w:val="22"/>
        </w:rPr>
      </w:pPr>
    </w:p>
    <w:p w:rsidRPr="00815065" w:rsidR="00815065" w:rsidP="00815065" w:rsidRDefault="00815065" w14:paraId="4A17DC94" w14:textId="305FD301">
      <w:pPr>
        <w:textAlignment w:val="baseline"/>
        <w:rPr>
          <w:rFonts w:ascii="Segoe UI" w:hAnsi="Segoe UI" w:cs="Segoe UI"/>
          <w:sz w:val="18"/>
          <w:szCs w:val="18"/>
        </w:rPr>
      </w:pPr>
      <w:r w:rsidRPr="00815065">
        <w:rPr>
          <w:rFonts w:ascii="Avenir Next LT Pro" w:hAnsi="Avenir Next LT Pro" w:cs="Segoe UI"/>
          <w:color w:val="000000"/>
          <w:sz w:val="22"/>
          <w:szCs w:val="22"/>
        </w:rPr>
        <w:t> </w:t>
      </w:r>
      <w:r w:rsidRPr="00815065">
        <w:rPr>
          <w:rFonts w:ascii="Avenir Next LT Pro" w:hAnsi="Avenir Next LT Pro" w:cs="Segoe UI"/>
          <w:sz w:val="22"/>
          <w:szCs w:val="22"/>
        </w:rPr>
        <w:t> </w:t>
      </w:r>
    </w:p>
    <w:p w:rsidRPr="00815065" w:rsidR="00815065" w:rsidP="00815065" w:rsidRDefault="00815065" w14:paraId="1075F7A7" w14:textId="07FE59FD">
      <w:pPr>
        <w:textAlignment w:val="baseline"/>
        <w:rPr>
          <w:rFonts w:ascii="Segoe UI" w:hAnsi="Segoe UI" w:cs="Segoe UI"/>
          <w:sz w:val="18"/>
          <w:szCs w:val="18"/>
        </w:rPr>
      </w:pPr>
      <w:r w:rsidRPr="00815065">
        <w:rPr>
          <w:rFonts w:ascii="Avenir Next LT Pro" w:hAnsi="Avenir Next LT Pro" w:cs="Segoe UI"/>
          <w:sz w:val="22"/>
          <w:szCs w:val="22"/>
        </w:rPr>
        <w:t>If you would like further information about the progression of skills within our curriculum, please contact the </w:t>
      </w:r>
      <w:r w:rsidR="00F351FF">
        <w:rPr>
          <w:rFonts w:ascii="Avenir Next LT Pro" w:hAnsi="Avenir Next LT Pro" w:cs="Segoe UI"/>
          <w:sz w:val="22"/>
          <w:szCs w:val="22"/>
        </w:rPr>
        <w:t>History</w:t>
      </w:r>
      <w:r w:rsidRPr="00815065">
        <w:rPr>
          <w:rFonts w:ascii="Avenir Next LT Pro" w:hAnsi="Avenir Next LT Pro" w:cs="Segoe UI"/>
          <w:sz w:val="22"/>
          <w:szCs w:val="22"/>
        </w:rPr>
        <w:t> Subject Leader. </w:t>
      </w:r>
    </w:p>
    <w:p w:rsidR="00815065" w:rsidP="00653BB7" w:rsidRDefault="00815065" w14:paraId="28366BF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 w:cs="Segoe UI" w:eastAsiaTheme="majorEastAsia"/>
          <w:i/>
          <w:iCs/>
          <w:color w:val="000000"/>
          <w:sz w:val="22"/>
          <w:szCs w:val="22"/>
        </w:rPr>
      </w:pPr>
    </w:p>
    <w:p w:rsidRPr="00815065" w:rsidR="00815065" w:rsidP="00815065" w:rsidRDefault="00815065" w14:paraId="78F7B174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815065" w:rsidR="4A9DB667">
        <w:rPr>
          <w:rFonts w:ascii="Avenir Next LT Pro" w:hAnsi="Avenir Next LT Pro" w:cs="Segoe UI"/>
          <w:b w:val="1"/>
          <w:bCs w:val="1"/>
          <w:color w:val="000000"/>
          <w:sz w:val="22"/>
          <w:szCs w:val="22"/>
          <w:shd w:val="clear" w:color="auto" w:fill="FFFFFF"/>
        </w:rPr>
        <w:t>Teaching and learning:</w:t>
      </w:r>
      <w:r w:rsidRPr="00815065" w:rsidR="4A9DB667">
        <w:rPr>
          <w:rFonts w:ascii="Avenir Next LT Pro" w:hAnsi="Avenir Next LT Pro" w:cs="Segoe UI"/>
          <w:color w:val="000000"/>
          <w:sz w:val="22"/>
          <w:szCs w:val="22"/>
          <w:shd w:val="clear" w:color="auto" w:fill="FFFFFF"/>
        </w:rPr>
        <w:t> </w:t>
      </w:r>
      <w:r w:rsidRPr="3BF5B665" w:rsidR="4A9DB667">
        <w:rPr>
          <w:rFonts w:ascii="Avenir Next LT Pro" w:hAnsi="Avenir Next LT Pro" w:cs="Segoe UI"/>
          <w:color w:val="000000"/>
          <w:sz w:val="22"/>
          <w:szCs w:val="22"/>
          <w:highlight w:val="yellow"/>
          <w:shd w:val="clear" w:color="auto" w:fill="FFFFFF"/>
        </w:rPr>
        <w:t>We use the CUSP curriculum because …</w:t>
      </w:r>
      <w:r w:rsidRPr="3BF5B665" w:rsidR="4A9DB667">
        <w:rPr>
          <w:rFonts w:ascii="Avenir Next LT Pro" w:hAnsi="Avenir Next LT Pro" w:cs="Segoe UI"/>
          <w:color w:val="000000"/>
          <w:sz w:val="22"/>
          <w:szCs w:val="22"/>
          <w:highlight w:val="yellow"/>
        </w:rPr>
        <w:t> </w:t>
      </w:r>
    </w:p>
    <w:p w:rsidRPr="00815065" w:rsidR="00815065" w:rsidP="00815065" w:rsidRDefault="00815065" w14:paraId="515FAD9E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815065">
        <w:rPr>
          <w:rFonts w:ascii="Avenir Next LT Pro" w:hAnsi="Avenir Next LT Pro" w:cs="Segoe UI"/>
          <w:color w:val="000000"/>
          <w:sz w:val="22"/>
          <w:szCs w:val="22"/>
        </w:rPr>
        <w:t> </w:t>
      </w:r>
    </w:p>
    <w:p w:rsidR="00653BB7" w:rsidP="00653BB7" w:rsidRDefault="001B55D8" w14:paraId="23C4E93B" w14:textId="0800D302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hAnsi="Avenir Next LT Pro" w:eastAsiaTheme="majorEastAsia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venir Next LT Pro" w:hAnsi="Avenir Next LT Pro" w:eastAsiaTheme="majorEastAsia"/>
          <w:color w:val="000000"/>
          <w:sz w:val="22"/>
          <w:szCs w:val="22"/>
          <w:shd w:val="clear" w:color="auto" w:fill="FFFFFF"/>
        </w:rPr>
        <w:t>CUSP </w:t>
      </w:r>
      <w:r w:rsidR="00F351FF">
        <w:rPr>
          <w:rFonts w:ascii="Avenir Next LT Pro" w:hAnsi="Avenir Next LT Pro" w:cs="Segoe UI"/>
          <w:sz w:val="22"/>
          <w:szCs w:val="22"/>
        </w:rPr>
        <w:t>History</w:t>
      </w:r>
      <w:r w:rsidRPr="00815065" w:rsidR="00F351FF">
        <w:rPr>
          <w:rFonts w:ascii="Avenir Next LT Pro" w:hAnsi="Avenir Next LT Pro" w:cs="Segoe UI"/>
          <w:sz w:val="22"/>
          <w:szCs w:val="22"/>
        </w:rPr>
        <w:t> </w:t>
      </w:r>
      <w:r>
        <w:rPr>
          <w:rStyle w:val="normaltextrun"/>
          <w:rFonts w:ascii="Avenir Next LT Pro" w:hAnsi="Avenir Next LT Pro" w:eastAsiaTheme="majorEastAsia"/>
          <w:color w:val="000000"/>
          <w:sz w:val="22"/>
          <w:szCs w:val="22"/>
          <w:shd w:val="clear" w:color="auto" w:fill="FFFFFF"/>
        </w:rPr>
        <w:t>resources contain a wealth of evidence-led materials to support excellent teaching and long-term learning.</w:t>
      </w:r>
      <w:r>
        <w:rPr>
          <w:rStyle w:val="normaltextrun"/>
          <w:rFonts w:ascii="Arial" w:hAnsi="Arial" w:cs="Arial" w:eastAsiaTheme="majorEastAsia"/>
          <w:color w:val="000000"/>
          <w:sz w:val="22"/>
          <w:szCs w:val="22"/>
          <w:shd w:val="clear" w:color="auto" w:fill="FFFFFF"/>
        </w:rPr>
        <w:t> </w:t>
      </w:r>
      <w:r>
        <w:rPr>
          <w:rStyle w:val="eop"/>
          <w:rFonts w:ascii="Avenir Next LT Pro" w:hAnsi="Avenir Next LT Pro" w:eastAsiaTheme="majorEastAsia"/>
          <w:color w:val="000000"/>
          <w:sz w:val="22"/>
          <w:szCs w:val="22"/>
          <w:shd w:val="clear" w:color="auto" w:fill="FFFFFF"/>
        </w:rPr>
        <w:t> </w:t>
      </w:r>
    </w:p>
    <w:p w:rsidRPr="00653BB7" w:rsidR="001B55D8" w:rsidP="00653BB7" w:rsidRDefault="001B55D8" w14:paraId="2FDE4DB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B3C7C" w:rsidP="3BF5B665" w:rsidRDefault="00815065" w14:paraId="18901BDF" w14:textId="42A0B13E">
      <w:pPr>
        <w:pStyle w:val="paragraph"/>
        <w:spacing w:before="0" w:beforeAutospacing="off" w:after="0" w:afterAutospacing="off"/>
        <w:textAlignment w:val="baseline"/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</w:pPr>
      <w:r w:rsidRPr="3BF5B665" w:rsidR="4A9DB667">
        <w:rPr>
          <w:rFonts w:ascii="Avenir Next LT Pro" w:hAnsi="Avenir Next LT Pro" w:cs="Segoe UI"/>
          <w:i w:val="1"/>
          <w:iCs w:val="1"/>
          <w:sz w:val="22"/>
          <w:szCs w:val="22"/>
          <w:highlight w:val="yellow"/>
          <w:lang w:val="en-US"/>
        </w:rPr>
        <w:t>INSERT IMAGE A</w:t>
      </w:r>
    </w:p>
    <w:p w:rsidR="00815065" w:rsidP="00BA68B5" w:rsidRDefault="00815065" w14:paraId="367D3A79" w14:textId="77777777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</w:p>
    <w:p w:rsidR="00FB3C7C" w:rsidP="00FB3C7C" w:rsidRDefault="00FB3C7C" w14:paraId="32C77A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lastRenderedPageBreak/>
        <w:t>Outcomes </w:t>
      </w:r>
      <w:proofErr w:type="gramStart"/>
      <w:r w:rsidRPr="00FB3C7C">
        <w:rPr>
          <w:rStyle w:val="advancedproofingissuezoomed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as a result of</w:t>
      </w:r>
      <w:proofErr w:type="gramEnd"/>
      <w:r w:rsidRPr="00FB3C7C">
        <w:rPr>
          <w:rStyle w:val="normaltextrun"/>
          <w:rFonts w:ascii="Avenir Next LT Pro" w:hAnsi="Avenir Next LT Pro" w:cs="Segoe UI" w:eastAsiaTheme="majorEastAsia"/>
          <w:b/>
          <w:bCs/>
          <w:color w:val="000000"/>
          <w:sz w:val="22"/>
          <w:szCs w:val="22"/>
        </w:rPr>
        <w:t> the curriculum, teaching and learning</w:t>
      </w:r>
      <w:r>
        <w:rPr>
          <w:rStyle w:val="normaltextrun"/>
          <w:rFonts w:ascii="Avenir Next LT Pro" w:hAnsi="Avenir Next LT Pro" w:cs="Segoe UI" w:eastAsiaTheme="majorEastAsia"/>
          <w:color w:val="000000"/>
          <w:sz w:val="22"/>
          <w:szCs w:val="22"/>
        </w:rPr>
        <w:t> </w:t>
      </w:r>
      <w:r>
        <w:rPr>
          <w:rStyle w:val="eop"/>
          <w:rFonts w:ascii="Arial" w:hAnsi="Arial" w:cs="Arial" w:eastAsiaTheme="majorEastAsia"/>
          <w:sz w:val="22"/>
          <w:szCs w:val="22"/>
        </w:rPr>
        <w:t>​</w:t>
      </w:r>
    </w:p>
    <w:p w:rsidR="00BA68B5" w:rsidP="00BA68B5" w:rsidRDefault="00BA68B5" w14:paraId="0438448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hAnsi="Avenir Next LT Pro" w:cs="Segoe UI" w:eastAsiaTheme="majorEastAsia"/>
          <w:sz w:val="22"/>
          <w:szCs w:val="22"/>
        </w:rPr>
        <w:t>Samples of our pupils’ learning: </w:t>
      </w:r>
      <w:r w:rsidRPr="00BA68B5">
        <w:rPr>
          <w:rStyle w:val="normaltextrun"/>
          <w:rFonts w:ascii="Avenir Next LT Pro" w:hAnsi="Avenir Next LT Pro" w:cs="Segoe UI" w:eastAsiaTheme="majorEastAsia"/>
          <w:sz w:val="22"/>
          <w:szCs w:val="22"/>
          <w:highlight w:val="yellow"/>
          <w:u w:val="single"/>
        </w:rPr>
        <w:t>(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>School inserts examples of pupil outcomes in books – range of ages)</w:t>
      </w: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="00BA68B5" w:rsidP="00BA68B5" w:rsidRDefault="00BA68B5" w14:paraId="7DA8C2B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Pr="00BA68B5" w:rsidR="00BA68B5" w:rsidP="00BA68B5" w:rsidRDefault="00BA68B5" w14:paraId="4E427C4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A68B5">
        <w:rPr>
          <w:rStyle w:val="normaltextrun"/>
          <w:rFonts w:ascii="Avenir Next LT Pro" w:hAnsi="Avenir Next LT Pro" w:cs="Segoe UI" w:eastAsiaTheme="majorEastAsia"/>
          <w:b/>
          <w:bCs/>
          <w:sz w:val="22"/>
          <w:szCs w:val="22"/>
        </w:rPr>
        <w:t>How the Subject Leader monitors and evaluates the curriculum:</w:t>
      </w:r>
      <w:r w:rsidRPr="00BA68B5">
        <w:rPr>
          <w:rStyle w:val="eop"/>
          <w:rFonts w:ascii="Avenir Next LT Pro" w:hAnsi="Avenir Next LT Pro" w:cs="Segoe UI" w:eastAsiaTheme="majorEastAsia"/>
          <w:b/>
          <w:bCs/>
          <w:sz w:val="22"/>
          <w:szCs w:val="22"/>
        </w:rPr>
        <w:t> </w:t>
      </w:r>
    </w:p>
    <w:p w:rsidR="00BA68B5" w:rsidP="00BA68B5" w:rsidRDefault="00BA68B5" w14:paraId="67A6D0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hAnsi="Avenir Next LT Pro" w:cs="Segoe UI" w:eastAsiaTheme="majorEastAsia"/>
          <w:sz w:val="22"/>
          <w:szCs w:val="22"/>
        </w:rPr>
        <w:t>We use Pupil Book Study (Alex Bedford, published by John Catt) to evaluate the impact of the curriculum on the lived experience of pupils. </w:t>
      </w:r>
      <w:r>
        <w:rPr>
          <w:rStyle w:val="eop"/>
          <w:rFonts w:ascii="Avenir Next LT Pro" w:hAnsi="Avenir Next LT Pro" w:cs="Segoe UI" w:eastAsiaTheme="majorEastAsia"/>
          <w:sz w:val="22"/>
          <w:szCs w:val="22"/>
        </w:rPr>
        <w:t> </w:t>
      </w:r>
    </w:p>
    <w:p w:rsidRPr="00815065" w:rsidR="00815065" w:rsidP="00BA68B5" w:rsidRDefault="00BA68B5" w14:paraId="63D97DCE" w14:textId="20E91564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 w:eastAsiaTheme="majorEastAsia"/>
          <w:i/>
          <w:iCs/>
          <w:sz w:val="22"/>
          <w:szCs w:val="22"/>
        </w:rPr>
      </w:pPr>
      <w:r w:rsidRPr="00BA68B5">
        <w:rPr>
          <w:rStyle w:val="normaltextrun"/>
          <w:rFonts w:ascii="Avenir Next LT Pro" w:hAnsi="Avenir Next LT Pro" w:cs="Segoe UI" w:eastAsiaTheme="majorEastAsia"/>
          <w:sz w:val="22"/>
          <w:szCs w:val="22"/>
          <w:highlight w:val="yellow"/>
        </w:rPr>
        <w:t>(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>School inserts how they monitor and evaluate</w:t>
      </w:r>
      <w:r w:rsidRPr="00BA68B5">
        <w:rPr>
          <w:rStyle w:val="normaltextrun"/>
          <w:rFonts w:ascii="Avenir Next LT Pro" w:hAnsi="Avenir Next LT Pro" w:cs="Segoe UI" w:eastAsiaTheme="majorEastAsia"/>
          <w:i/>
          <w:iCs/>
          <w:sz w:val="22"/>
          <w:szCs w:val="22"/>
          <w:highlight w:val="yellow"/>
        </w:rPr>
        <w:t xml:space="preserve"> the curriculum)</w:t>
      </w:r>
    </w:p>
    <w:p w:rsidRPr="00277B0D" w:rsidR="00815065" w:rsidP="00277B0D" w:rsidRDefault="00815065" w14:paraId="79D2DB1E" w14:textId="1338A827">
      <w:pPr>
        <w:textAlignment w:val="baseline"/>
        <w:rPr>
          <w:rFonts w:ascii="Segoe UI" w:hAnsi="Segoe UI" w:cs="Segoe UI"/>
          <w:sz w:val="18"/>
          <w:szCs w:val="18"/>
        </w:rPr>
      </w:pPr>
    </w:p>
    <w:sectPr w:rsidRPr="00277B0D" w:rsidR="0081506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C9D"/>
    <w:multiLevelType w:val="multilevel"/>
    <w:tmpl w:val="FCAA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Next LT Pro" w:hAnsi="Avenir Next LT Pro" w:eastAsia="Times New Roman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32B55"/>
    <w:multiLevelType w:val="multilevel"/>
    <w:tmpl w:val="37F6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C045CE7"/>
    <w:multiLevelType w:val="hybridMultilevel"/>
    <w:tmpl w:val="524C9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B40CA"/>
    <w:multiLevelType w:val="hybridMultilevel"/>
    <w:tmpl w:val="7A929F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6214615">
    <w:abstractNumId w:val="2"/>
  </w:num>
  <w:num w:numId="2" w16cid:durableId="1794251022">
    <w:abstractNumId w:val="0"/>
  </w:num>
  <w:num w:numId="3" w16cid:durableId="1971088207">
    <w:abstractNumId w:val="1"/>
  </w:num>
  <w:num w:numId="4" w16cid:durableId="41753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7B"/>
    <w:rsid w:val="0004367B"/>
    <w:rsid w:val="00056B83"/>
    <w:rsid w:val="001B55D8"/>
    <w:rsid w:val="001D4E99"/>
    <w:rsid w:val="0023157C"/>
    <w:rsid w:val="00277B0D"/>
    <w:rsid w:val="003F66FA"/>
    <w:rsid w:val="005017A3"/>
    <w:rsid w:val="005D292B"/>
    <w:rsid w:val="00653BB7"/>
    <w:rsid w:val="00695A49"/>
    <w:rsid w:val="00815065"/>
    <w:rsid w:val="00990DA8"/>
    <w:rsid w:val="00A5047B"/>
    <w:rsid w:val="00B13FE9"/>
    <w:rsid w:val="00BA68B5"/>
    <w:rsid w:val="00BF68F5"/>
    <w:rsid w:val="00C63583"/>
    <w:rsid w:val="00C869F8"/>
    <w:rsid w:val="00F351FF"/>
    <w:rsid w:val="00FA3676"/>
    <w:rsid w:val="00FB3C7C"/>
    <w:rsid w:val="10BE6799"/>
    <w:rsid w:val="19E2F2A8"/>
    <w:rsid w:val="214D0988"/>
    <w:rsid w:val="249CB609"/>
    <w:rsid w:val="26195CF5"/>
    <w:rsid w:val="381E24AB"/>
    <w:rsid w:val="3BF5B665"/>
    <w:rsid w:val="3CA87F98"/>
    <w:rsid w:val="4000156D"/>
    <w:rsid w:val="41666C4B"/>
    <w:rsid w:val="4A9DB667"/>
    <w:rsid w:val="69B3C1AA"/>
    <w:rsid w:val="78D83A86"/>
    <w:rsid w:val="7C2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230C4"/>
  <w15:chartTrackingRefBased/>
  <w15:docId w15:val="{F945F8FA-F15F-3444-AB45-8F956240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51FF"/>
    <w:pPr>
      <w:spacing w:after="0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47B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47B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47B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47B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47B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47B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47B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47B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47B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04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04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04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04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04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04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04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04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0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47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A504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47B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A5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47B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A50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47B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0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4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0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47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5047B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A5047B"/>
  </w:style>
  <w:style w:type="character" w:styleId="eop" w:customStyle="1">
    <w:name w:val="eop"/>
    <w:basedOn w:val="DefaultParagraphFont"/>
    <w:rsid w:val="00A5047B"/>
  </w:style>
  <w:style w:type="character" w:styleId="contextualspellingandgrammarerrorzoomed" w:customStyle="1">
    <w:name w:val="contextualspellingandgrammarerrorzoomed"/>
    <w:basedOn w:val="DefaultParagraphFont"/>
    <w:rsid w:val="00A5047B"/>
  </w:style>
  <w:style w:type="character" w:styleId="advancedproofingissuezoomed" w:customStyle="1">
    <w:name w:val="advancedproofingissuezoomed"/>
    <w:basedOn w:val="DefaultParagraphFont"/>
    <w:rsid w:val="00FB3C7C"/>
  </w:style>
  <w:style w:type="character" w:styleId="wacimagecontainer" w:customStyle="1">
    <w:name w:val="wacimagecontainer"/>
    <w:basedOn w:val="DefaultParagraphFont"/>
    <w:rsid w:val="00815065"/>
  </w:style>
  <w:style w:type="character" w:styleId="scxw233963664" w:customStyle="1">
    <w:name w:val="scxw233963664"/>
    <w:basedOn w:val="DefaultParagraphFont"/>
    <w:rsid w:val="005D292B"/>
  </w:style>
  <w:style w:type="character" w:styleId="scxw155024992" w:customStyle="1">
    <w:name w:val="scxw155024992"/>
    <w:basedOn w:val="DefaultParagraphFont"/>
    <w:rsid w:val="00F3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d70b082-a070-4e1c-b394-461c73607d62">
      <UserInfo>
        <DisplayName/>
        <AccountId xsi:nil="true"/>
        <AccountType/>
      </UserInfo>
    </Owner>
    <g5236701626640c1ab96021ee8d14cff xmlns="4d70b082-a070-4e1c-b394-461c73607d62">
      <Terms xmlns="http://schemas.microsoft.com/office/infopath/2007/PartnerControls"/>
    </g5236701626640c1ab96021ee8d14cff>
    <DepartmentsTaxHTField xmlns="4d70b082-a070-4e1c-b394-461c73607d62" xsi:nil="true"/>
    <LocationsTaxHTField xmlns="a0520e7d-56ac-42ba-8299-7941f60600bb" xsi:nil="true"/>
    <lcf76f155ced4ddcb4097134ff3c332f xmlns="6f3dfd7c-3e24-40e3-919b-689b01990870">
      <Terms xmlns="http://schemas.microsoft.com/office/infopath/2007/PartnerControls"/>
    </lcf76f155ced4ddcb4097134ff3c332f>
    <p640f9c8b4b14857bdc671f534fc7d57 xmlns="4d70b082-a070-4e1c-b394-461c73607d62">
      <Terms xmlns="http://schemas.microsoft.com/office/infopath/2007/PartnerControls"/>
    </p640f9c8b4b14857bdc671f534fc7d57>
    <b73a531bf2874837a19042fda8b245b9 xmlns="4d70b082-a070-4e1c-b394-461c73607d62">
      <Terms xmlns="http://schemas.microsoft.com/office/infopath/2007/PartnerControls"/>
    </b73a531bf2874837a19042fda8b245b9>
    <c9be4fc6f559450098a544dcf2e206c7 xmlns="4d70b082-a070-4e1c-b394-461c73607d62">
      <Terms xmlns="http://schemas.microsoft.com/office/infopath/2007/PartnerControls"/>
    </c9be4fc6f559450098a544dcf2e206c7>
    <DocumentTypeTaxHTField xmlns="4d70b082-a070-4e1c-b394-461c73607d62" xsi:nil="true"/>
    <KeywordsTagsTaxHTField xmlns="4d70b082-a070-4e1c-b394-461c73607d62" xsi:nil="true"/>
    <TaxCatchAll xmlns="4d70b082-a070-4e1c-b394-461c73607d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5D058686C814789AC3A65F8F814F1" ma:contentTypeVersion="13" ma:contentTypeDescription="Create a new document." ma:contentTypeScope="" ma:versionID="99179eff5d5ddb3bef3ecdef59ef83c8">
  <xsd:schema xmlns:xsd="http://www.w3.org/2001/XMLSchema" xmlns:xs="http://www.w3.org/2001/XMLSchema" xmlns:p="http://schemas.microsoft.com/office/2006/metadata/properties" xmlns:ns2="a0520e7d-56ac-42ba-8299-7941f60600bb" xmlns:ns3="4d70b082-a070-4e1c-b394-461c73607d62" xmlns:ns4="4d70b082-a070-4e1c-b394-461c73607d62" xmlns:ns5="6f3dfd7c-3e24-40e3-919b-689b01990870" targetNamespace="http://schemas.microsoft.com/office/2006/metadata/properties" ma:root="true" ma:fieldsID="8c3a54b174ce43f524a904cc95c2615c" ns2:_="" ns4:_="" ns5:_="">
    <xsd:import namespace="a0520e7d-56ac-42ba-8299-7941f60600bb"/>
    <xsd:import namespace="4d70b082-a070-4e1c-b394-461c73607d62"/>
    <xsd:import namespace="4d70b082-a070-4e1c-b394-461c73607d62"/>
    <xsd:import namespace="6f3dfd7c-3e24-40e3-919b-689b01990870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p640f9c8b4b14857bdc671f534fc7d57" minOccurs="0"/>
                <xsd:element ref="ns4:TaxCatchAll" minOccurs="0"/>
                <xsd:element ref="ns4:TaxCatchAllLabel" minOccurs="0"/>
                <xsd:element ref="ns4:c9be4fc6f559450098a544dcf2e206c7" minOccurs="0"/>
                <xsd:element ref="ns4:b73a531bf2874837a19042fda8b245b9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p640f9c8b4b14857bdc671f534fc7d57" ma:index="12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743d940-9f55-4b59-961c-86d28401ec97}" ma:internalName="TaxCatchAll" ma:showField="CatchAllData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743d940-9f55-4b59-961c-86d28401ec97}" ma:internalName="TaxCatchAllLabel" ma:readOnly="true" ma:showField="CatchAllDataLabel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3a531bf2874837a19042fda8b245b9" ma:index="18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2" nillable="true" ma:displayName="Owner" ma:format="Dropdown" ma:hidden="true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dfd7c-3e24-40e3-919b-689b01990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91067-D39A-4029-9DAA-96BFA2CBBE1D}">
  <ds:schemaRefs>
    <ds:schemaRef ds:uri="http://schemas.microsoft.com/office/2006/metadata/properties"/>
    <ds:schemaRef ds:uri="http://schemas.microsoft.com/office/infopath/2007/PartnerControls"/>
    <ds:schemaRef ds:uri="4d70b082-a070-4e1c-b394-461c73607d62"/>
    <ds:schemaRef ds:uri="a0520e7d-56ac-42ba-8299-7941f60600bb"/>
    <ds:schemaRef ds:uri="6f3dfd7c-3e24-40e3-919b-689b01990870"/>
  </ds:schemaRefs>
</ds:datastoreItem>
</file>

<file path=customXml/itemProps2.xml><?xml version="1.0" encoding="utf-8"?>
<ds:datastoreItem xmlns:ds="http://schemas.openxmlformats.org/officeDocument/2006/customXml" ds:itemID="{43EC2029-2A4C-4494-B49D-10828F9B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B843E-70ED-428B-8508-263800FF2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4d70b082-a070-4e1c-b394-461c73607d62"/>
    <ds:schemaRef ds:uri="6f3dfd7c-3e24-40e3-919b-689b01990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 Hooper</dc:creator>
  <keywords/>
  <dc:description/>
  <lastModifiedBy>Erika Hooper</lastModifiedBy>
  <revision>3</revision>
  <dcterms:created xsi:type="dcterms:W3CDTF">2025-12-28T20:35:00.0000000Z</dcterms:created>
  <dcterms:modified xsi:type="dcterms:W3CDTF">2026-01-06T11:08:10.1393317Z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0x01010017E5D058686C814789AC3A65F8F814F1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